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44694" w14:textId="731B553E" w:rsidR="00DA2E52" w:rsidRPr="00DA04FD" w:rsidRDefault="00DA2E52" w:rsidP="00BE321B">
      <w:pPr>
        <w:spacing w:after="0"/>
        <w:ind w:left="0" w:firstLine="0"/>
        <w:jc w:val="center"/>
        <w:rPr>
          <w:sz w:val="44"/>
          <w:szCs w:val="44"/>
          <w:lang w:val="el-GR"/>
        </w:rPr>
      </w:pPr>
      <w:r w:rsidRPr="00313CF7">
        <w:rPr>
          <w:sz w:val="44"/>
          <w:szCs w:val="44"/>
        </w:rPr>
        <w:t>ThukA</w:t>
      </w:r>
      <w:r w:rsidRPr="008940DE">
        <w:rPr>
          <w:sz w:val="44"/>
          <w:szCs w:val="44"/>
          <w:lang w:val="el-GR"/>
        </w:rPr>
        <w:t>001.1-003</w:t>
      </w:r>
      <w:r w:rsidR="006C6FDF" w:rsidRPr="008940DE">
        <w:rPr>
          <w:sz w:val="44"/>
          <w:szCs w:val="44"/>
          <w:lang w:val="el-GR"/>
        </w:rPr>
        <w:t>.</w:t>
      </w:r>
      <w:r w:rsidR="00C117B6">
        <w:rPr>
          <w:sz w:val="44"/>
          <w:szCs w:val="44"/>
        </w:rPr>
        <w:t>2</w:t>
      </w:r>
      <w:r w:rsidR="00DA04FD" w:rsidRPr="00DA04FD">
        <w:rPr>
          <w:sz w:val="44"/>
          <w:szCs w:val="44"/>
          <w:lang w:val="el-GR"/>
        </w:rPr>
        <w:t xml:space="preserve"> </w:t>
      </w:r>
      <w:r w:rsidR="00DA04FD" w:rsidRPr="00DA04FD">
        <w:rPr>
          <w:sz w:val="28"/>
          <w:szCs w:val="28"/>
        </w:rPr>
        <w:t>als</w:t>
      </w:r>
      <w:r w:rsidR="00DA04FD" w:rsidRPr="00BE321B">
        <w:rPr>
          <w:sz w:val="28"/>
          <w:szCs w:val="28"/>
          <w:lang w:val="el-GR"/>
        </w:rPr>
        <w:t xml:space="preserve"> </w:t>
      </w:r>
      <w:r w:rsidR="00DA04FD" w:rsidRPr="00DA04FD">
        <w:rPr>
          <w:sz w:val="28"/>
          <w:szCs w:val="28"/>
        </w:rPr>
        <w:t>docx</w:t>
      </w:r>
    </w:p>
    <w:p w14:paraId="6364814B" w14:textId="47E7D076" w:rsidR="00DA2E52" w:rsidRPr="00CA7B9E" w:rsidRDefault="00DA2E52" w:rsidP="00DA2E52">
      <w:pPr>
        <w:ind w:left="0" w:firstLine="0"/>
        <w:jc w:val="center"/>
        <w:rPr>
          <w:lang w:val="el-GR"/>
        </w:rPr>
      </w:pPr>
      <w:r>
        <w:rPr>
          <w:b/>
          <w:bCs/>
          <w:lang w:val="el-GR"/>
        </w:rPr>
        <w:t xml:space="preserve">Θουκυδίδου </w:t>
      </w:r>
      <w:r w:rsidRPr="00CA7B9E">
        <w:rPr>
          <w:b/>
          <w:bCs/>
          <w:lang w:val="el-GR"/>
        </w:rPr>
        <w:t>Ιστορία το</w:t>
      </w:r>
      <w:r>
        <w:rPr>
          <w:b/>
          <w:bCs/>
          <w:lang w:val="el-GR"/>
        </w:rPr>
        <w:t>ῦ</w:t>
      </w:r>
      <w:r w:rsidRPr="00CA7B9E">
        <w:rPr>
          <w:b/>
          <w:bCs/>
          <w:lang w:val="el-GR"/>
        </w:rPr>
        <w:t xml:space="preserve"> Πελοποννησιακο</w:t>
      </w:r>
      <w:r>
        <w:rPr>
          <w:b/>
          <w:bCs/>
          <w:lang w:val="el-GR"/>
        </w:rPr>
        <w:t>ῦ</w:t>
      </w:r>
      <w:r w:rsidRPr="00CA7B9E">
        <w:rPr>
          <w:b/>
          <w:bCs/>
          <w:lang w:val="el-GR"/>
        </w:rPr>
        <w:t xml:space="preserve"> Πολέμου</w:t>
      </w:r>
      <w:r w:rsidRPr="00313CF7">
        <w:rPr>
          <w:b/>
          <w:bCs/>
          <w:lang w:val="el-GR"/>
        </w:rPr>
        <w:t xml:space="preserve"> - </w:t>
      </w:r>
      <w:r w:rsidRPr="00CA7B9E">
        <w:rPr>
          <w:lang w:val="el-GR"/>
        </w:rPr>
        <w:t>ΙΣΤΟΡΙΩΝ Α</w:t>
      </w:r>
    </w:p>
    <w:p w14:paraId="733A8D38" w14:textId="77777777" w:rsidR="00BE321B" w:rsidRDefault="00DA2E52" w:rsidP="00DA2E52">
      <w:pPr>
        <w:ind w:left="0" w:firstLine="0"/>
      </w:pPr>
      <w:hyperlink r:id="rId6" w:anchor="p1" w:history="1">
        <w:r w:rsidRPr="00406FFC">
          <w:rPr>
            <w:rStyle w:val="Hyperlink"/>
            <w:lang w:val="el-GR"/>
          </w:rPr>
          <w:t>[1]</w:t>
        </w:r>
      </w:hyperlink>
      <w:r w:rsidRPr="00CA7B9E">
        <w:t> </w:t>
      </w:r>
      <w:hyperlink r:id="rId7" w:anchor="p1.1" w:history="1">
        <w:r w:rsidRPr="00406FFC">
          <w:rPr>
            <w:rStyle w:val="Hyperlink"/>
            <w:lang w:val="el-GR"/>
          </w:rPr>
          <w:t>[1.1]</w:t>
        </w:r>
      </w:hyperlink>
      <w:r w:rsidRPr="00CA7B9E">
        <w:t> </w:t>
      </w:r>
      <w:r w:rsidRPr="00406FFC">
        <w:rPr>
          <w:lang w:val="el-GR"/>
        </w:rPr>
        <w:t>Θουκυδίδης Ἀθηναῖος ξυνέγραψε</w:t>
      </w:r>
      <w:r>
        <w:rPr>
          <w:rStyle w:val="Funotenzeichen"/>
        </w:rPr>
        <w:footnoteReference w:id="1"/>
      </w:r>
      <w:r w:rsidRPr="00406FFC">
        <w:rPr>
          <w:lang w:val="el-GR"/>
        </w:rPr>
        <w:t xml:space="preserve"> τὸν πόλεμον τῶν Πελοποννησίων καὶ Ἀθηναίων, ὡς ἐπολέμησαν πρὸς ἀλλήλους, ἀρξάμενος εὐθὺς καθισταμένου καὶ ἐλπίσας μέγαν τε ἔσεσθαι καὶ ἀξιολογώτατον τῶν προγεγενημένων, τεκμαιρόμενος ὅτι ἀκμάζοντές τε ᾖσαν ἐς αὐτὸν ἀμφότεροι παρασκευῇ τῇ πάσῃ καὶ τὸ ἄλλο Ἑλληνικὸν ὁρῶν ξυνιστάμενον πρὸς ἑκατέρους, τὸ μὲν εὐθύς, τὸ δὲ καὶ διανοούμενον.</w:t>
      </w:r>
      <w:r w:rsidRPr="00CA7B9E">
        <w:t> </w:t>
      </w:r>
      <w:hyperlink r:id="rId8" w:anchor="p1.2" w:history="1">
        <w:r w:rsidRPr="00CA7B9E">
          <w:rPr>
            <w:rStyle w:val="Hyperlink"/>
          </w:rPr>
          <w:t>[1.2]</w:t>
        </w:r>
      </w:hyperlink>
      <w:r w:rsidRPr="00CA7B9E">
        <w:t> κίνησις γὰρ αὕτη μεγίστη δὴ τοῖς Ἕλλησιν ἐγένετο καὶ μέρει τινὶ τῶν βαρβάρων, ὡς δὲ εἰπεῖν καὶ ἐπὶ πλεῖστον ἀνθρώπων. </w:t>
      </w:r>
      <w:hyperlink r:id="rId9" w:anchor="p1.3" w:history="1">
        <w:r w:rsidRPr="00CA7B9E">
          <w:rPr>
            <w:rStyle w:val="Hyperlink"/>
          </w:rPr>
          <w:t>[1.3]</w:t>
        </w:r>
      </w:hyperlink>
      <w:r w:rsidRPr="00CA7B9E">
        <w:t> τὰ γὰρ πρὸ αὐτῶν καὶ τὰ ἔτι παλαίτερα σαφῶς μὲν εὑρεῖν διὰ χρόνου πλῆθος ἀδύνατα ἦν, ἐκ δὲ τεκμηρίων ὧν ἐπὶ μακρότατον σκοποῦντί μοι πιστεῦσαι ξυμβαίνει οὐ μεγάλα νομίζω γενέσθαι οὔτε κατὰ τοὺς πολέμους οὔτε ἐς τὰ ἄλλα. </w:t>
      </w:r>
    </w:p>
    <w:p w14:paraId="5CA85CB5" w14:textId="77777777" w:rsidR="00BE321B" w:rsidRDefault="00DA2E52" w:rsidP="00DA2E52">
      <w:pPr>
        <w:ind w:left="0" w:firstLine="0"/>
      </w:pPr>
      <w:hyperlink r:id="rId10" w:anchor="p2" w:history="1">
        <w:r w:rsidRPr="00CA7B9E">
          <w:rPr>
            <w:rStyle w:val="Hyperlink"/>
          </w:rPr>
          <w:t>[2]</w:t>
        </w:r>
      </w:hyperlink>
      <w:r w:rsidRPr="00CA7B9E">
        <w:t> </w:t>
      </w:r>
      <w:hyperlink r:id="rId11" w:anchor="p2.1" w:history="1">
        <w:r w:rsidRPr="00CA7B9E">
          <w:rPr>
            <w:rStyle w:val="Hyperlink"/>
          </w:rPr>
          <w:t>[2.1]</w:t>
        </w:r>
      </w:hyperlink>
      <w:r w:rsidRPr="00CA7B9E">
        <w:t> φαίνεται γὰρ ἡ νῦν Ἑλλὰς καλουμένη οὐ πάλαι βεβαίως οἰκουμένη, ἀλλὰ μεταναστάσεις τε οὖσαι τὰ πρότερα καὶ ῥᾳδίως ἕκαστοι τὴν ἑαυτῶν ἀπολείποντες βιαζόμενοι ὑπό τινων αἰεὶ πλειόνων. </w:t>
      </w:r>
      <w:hyperlink r:id="rId12" w:anchor="p2.2" w:history="1">
        <w:r w:rsidRPr="00CA7B9E">
          <w:rPr>
            <w:rStyle w:val="Hyperlink"/>
          </w:rPr>
          <w:t>[2.2]</w:t>
        </w:r>
      </w:hyperlink>
      <w:r w:rsidRPr="00CA7B9E">
        <w:t xml:space="preserve"> τῆς γὰρ </w:t>
      </w:r>
      <w:r w:rsidRPr="00EC61E6">
        <w:t>ἐμπορίας</w:t>
      </w:r>
      <w:r w:rsidRPr="00724B5E">
        <w:rPr>
          <w:color w:val="EE0000"/>
        </w:rPr>
        <w:t xml:space="preserve"> </w:t>
      </w:r>
      <w:r w:rsidRPr="00CA7B9E">
        <w:t>οὐκ οὔσης, οὐδ’ ἐπιμειγνύντες ἀδεῶς ἀλλήλοις οὔτε κατὰ γῆν οὔτε διὰ θαλάσσης, νεμόμενοί τε τὰ αὑτῶν ἕκαστοι ὅσον ἀποζῆν</w:t>
      </w:r>
      <w:r>
        <w:rPr>
          <w:rStyle w:val="Funotenzeichen"/>
        </w:rPr>
        <w:footnoteReference w:id="2"/>
      </w:r>
      <w:r w:rsidRPr="00CA7B9E">
        <w:t xml:space="preserve"> καὶ περιουσίαν χρημάτων οὐκ ἔχοντες οὐδὲ γῆν </w:t>
      </w:r>
      <w:r w:rsidRPr="0066237F">
        <w:t>φυτεύοντες</w:t>
      </w:r>
      <w:r w:rsidRPr="00CA7B9E">
        <w:t>, ἄδηλον ὂν</w:t>
      </w:r>
      <w:r>
        <w:rPr>
          <w:rStyle w:val="Funotenzeichen"/>
        </w:rPr>
        <w:footnoteReference w:id="3"/>
      </w:r>
      <w:r w:rsidRPr="00CA7B9E">
        <w:t xml:space="preserve"> ὁπότε τις ἐπελθὼν καὶ ἀτειχίστων ἅμα ὄντων ἄλλος ἀφαιρήσεται, τῆς τε καθ’ ἡμέραν ἀναγκαίου τροφῆς πανταχοῦ ἂν ἡγούμενοι ἐπικρατεῖν, οὐ χαλεπῶς ἀπανίσταντο, καὶ δι’ αὐτὸ οὔτε μεγέθει πόλεων </w:t>
      </w:r>
      <w:r w:rsidRPr="0066237F">
        <w:t>ἴσχυον</w:t>
      </w:r>
      <w:r w:rsidRPr="00CA7B9E">
        <w:t xml:space="preserve"> οὔτε τῇ ἄλλῃ παρασκευῇ. </w:t>
      </w:r>
      <w:hyperlink r:id="rId13" w:anchor="p2.3" w:history="1">
        <w:r w:rsidRPr="00CA7B9E">
          <w:rPr>
            <w:rStyle w:val="Hyperlink"/>
          </w:rPr>
          <w:t>[2.3]</w:t>
        </w:r>
      </w:hyperlink>
      <w:r w:rsidRPr="00CA7B9E">
        <w:t xml:space="preserve"> μάλιστα δὲ τῆς γῆς ἡ ἀρίστη αἰεὶ τὰς μεταβολὰς τῶν </w:t>
      </w:r>
      <w:r w:rsidRPr="0052354B">
        <w:t>οἰκητόρων</w:t>
      </w:r>
      <w:r w:rsidRPr="0066237F">
        <w:rPr>
          <w:color w:val="EE0000"/>
        </w:rPr>
        <w:t xml:space="preserve"> </w:t>
      </w:r>
      <w:r w:rsidRPr="00CA7B9E">
        <w:t>εἶχεν, ἥ τε νῦν Θεσσαλία καλουμένη καὶ Βοιωτία Πελοποννήσου τε τὰ πολλὰ πλὴν Ἀρκαδίας, τῆς τε ἄλλης</w:t>
      </w:r>
      <w:r>
        <w:rPr>
          <w:rStyle w:val="Funotenzeichen"/>
        </w:rPr>
        <w:footnoteReference w:id="4"/>
      </w:r>
      <w:r w:rsidRPr="00CA7B9E">
        <w:t xml:space="preserve"> ὅσα ἦν κράτιστα. </w:t>
      </w:r>
      <w:hyperlink r:id="rId14" w:anchor="p2.4" w:history="1">
        <w:r w:rsidRPr="00CA7B9E">
          <w:rPr>
            <w:rStyle w:val="Hyperlink"/>
          </w:rPr>
          <w:t>[2.4]</w:t>
        </w:r>
      </w:hyperlink>
      <w:r w:rsidRPr="00CA7B9E">
        <w:t> διὰ γὰρ ἀρετὴν γῆς αἵ τε δυνάμεις τισὶ μείζους ἐγγιγνόμεναι στάσεις ἐνεποίουν ἐξ ὧν ἐφθείροντο, καὶ ἅμα ὑπὸ ἀλλοφύλων μᾶλλον ἐπεβουλεύοντο. </w:t>
      </w:r>
      <w:hyperlink r:id="rId15" w:anchor="p2.5" w:history="1">
        <w:r w:rsidRPr="00CA7B9E">
          <w:rPr>
            <w:rStyle w:val="Hyperlink"/>
          </w:rPr>
          <w:t>[2.5]</w:t>
        </w:r>
      </w:hyperlink>
      <w:r w:rsidRPr="00CA7B9E">
        <w:t> τὴν γοῦν Ἀττικὴν ἐκ</w:t>
      </w:r>
      <w:r>
        <w:rPr>
          <w:rStyle w:val="Funotenzeichen"/>
        </w:rPr>
        <w:footnoteReference w:id="5"/>
      </w:r>
      <w:r w:rsidRPr="00CA7B9E">
        <w:t xml:space="preserve"> τοῦ ἐπὶ πλεῖστον διὰ τὸ λεπτόγεων ἀστασίαστον οὖσαν ἄνθρωποι ᾤκουν οἱ αὐτοὶ αἰεί. </w:t>
      </w:r>
      <w:hyperlink r:id="rId16" w:anchor="p2.6" w:history="1">
        <w:r w:rsidRPr="00CA7B9E">
          <w:rPr>
            <w:rStyle w:val="Hyperlink"/>
          </w:rPr>
          <w:t>[2.6]</w:t>
        </w:r>
      </w:hyperlink>
      <w:r w:rsidRPr="00CA7B9E">
        <w:t> καὶ παράδειγμα τόδε τοῦ λόγου οὐκ ἐλάχιστόν ἐστι διὰ τὰς μετοικίας ἐς</w:t>
      </w:r>
      <w:r>
        <w:rPr>
          <w:rStyle w:val="Funotenzeichen"/>
        </w:rPr>
        <w:footnoteReference w:id="6"/>
      </w:r>
      <w:r w:rsidRPr="00CA7B9E">
        <w:t xml:space="preserve"> τὰ ἄλλα μὴ ὁμοίως αὐξηθῆναι</w:t>
      </w:r>
      <w:r>
        <w:rPr>
          <w:rStyle w:val="Funotenzeichen"/>
        </w:rPr>
        <w:footnoteReference w:id="7"/>
      </w:r>
      <w:r w:rsidRPr="00CA7B9E">
        <w:t>· ἐκ γὰρ τῆς ἄλλης Ἑλλάδος οἱ πολέμῳ ἢ στάσει ἐκπίπτοντες παρ’ Ἀθηναίους οἱ δυνατώτατοι ὡς βέβαιον ὂν ἀνεχώρουν, καὶ πολῖται γιγνόμενοι εὐθὺς ἀπὸ παλαιοῦ μείζω ἔτι ἐποίησαν πλήθει ἀνθρώπων τὴν πόλιν, ὥστε καὶ ἐς Ἰωνίαν ὕστερον ὡς οὐχ ἱκανῆς οὔσης τῆς Ἀττικῆς ἀποικίας ἐξέπεμψαν.</w:t>
      </w:r>
    </w:p>
    <w:p w14:paraId="7284A3B5" w14:textId="0D4A3934" w:rsidR="005069DE" w:rsidRDefault="00DA2E52" w:rsidP="00DA2E52">
      <w:pPr>
        <w:ind w:left="0" w:firstLine="0"/>
      </w:pPr>
      <w:hyperlink r:id="rId17" w:anchor="p3" w:history="1">
        <w:r w:rsidRPr="00CA7B9E">
          <w:rPr>
            <w:rStyle w:val="Hyperlink"/>
          </w:rPr>
          <w:t>[3]</w:t>
        </w:r>
      </w:hyperlink>
      <w:r w:rsidRPr="00CA7B9E">
        <w:t> </w:t>
      </w:r>
      <w:hyperlink r:id="rId18" w:anchor="p3.1" w:history="1">
        <w:r w:rsidRPr="00CA7B9E">
          <w:rPr>
            <w:rStyle w:val="Hyperlink"/>
          </w:rPr>
          <w:t>[3.1]</w:t>
        </w:r>
      </w:hyperlink>
      <w:r w:rsidRPr="00CA7B9E">
        <w:t> Δηλοῖ δέ μοι καὶ τόδε τῶν παλαιῶν ἀσθένειαν οὐχ ἥκιστα· πρὸ γὰρ τῶν Τρωικῶν</w:t>
      </w:r>
      <w:r>
        <w:rPr>
          <w:rStyle w:val="Funotenzeichen"/>
        </w:rPr>
        <w:footnoteReference w:id="8"/>
      </w:r>
      <w:r w:rsidRPr="00CA7B9E">
        <w:t xml:space="preserve"> οὐδὲν φαίνεται πρότερον κοινῇ ἐργασαμένη ἡ Ἑλλάς· </w:t>
      </w:r>
      <w:hyperlink r:id="rId19" w:anchor="p3.2" w:history="1">
        <w:r w:rsidRPr="00CA7B9E">
          <w:rPr>
            <w:rStyle w:val="Hyperlink"/>
          </w:rPr>
          <w:t>[3.2]</w:t>
        </w:r>
      </w:hyperlink>
      <w:r w:rsidRPr="00CA7B9E">
        <w:t> δοκεῖ δέ μοι, οὐδὲ τοὔνομα τοῦτο ξύμπασά πω εἶχεν, ἀλλὰ τὰ μὲν πρὸ Ἕλληνος τοῦ Δευκαλίωνος</w:t>
      </w:r>
      <w:r>
        <w:rPr>
          <w:rStyle w:val="Funotenzeichen"/>
        </w:rPr>
        <w:footnoteReference w:id="9"/>
      </w:r>
      <w:r w:rsidRPr="00CA7B9E">
        <w:t xml:space="preserve"> καὶ πάνυ οὐδὲ εἶναι ἡ ἐπίκλησις αὕτη, κατὰ ἔθνη δὲ ἄλλα τε καὶ τὸ Πελασγικὸν</w:t>
      </w:r>
      <w:r>
        <w:rPr>
          <w:rStyle w:val="Funotenzeichen"/>
        </w:rPr>
        <w:footnoteReference w:id="10"/>
      </w:r>
      <w:r w:rsidRPr="00CA7B9E">
        <w:t xml:space="preserve"> ἐπὶ πλεῖστον ἀφ’ ἑαυτῶν τὴν ἐπωνυμίαν παρέχεσθαι, Ἕλληνος δὲ καὶ τῶν παίδων αὐτοῦ ἐν τῇ Φθιώτιδι ἰσχυσάντων, καὶ ἐπαγομένων</w:t>
      </w:r>
      <w:r>
        <w:rPr>
          <w:rStyle w:val="Funotenzeichen"/>
        </w:rPr>
        <w:footnoteReference w:id="11"/>
      </w:r>
      <w:r w:rsidRPr="00CA7B9E">
        <w:t xml:space="preserve"> αὐτοὺς ἐπ’ ὠφελίᾳ ἐς τὰς ἄλλας πόλεις, καθ’ ἑκάστους μὲν ἤδη τῇ ὁμιλίᾳ μᾶλλον καλεῖσθαι Ἕλληνας, οὐ μέντοι πολλοῦ γε χρόνου [ἐδύνατο] καὶ ἅπασιν </w:t>
      </w:r>
      <w:r w:rsidRPr="0052354B">
        <w:t>ἐκνικῆσαι</w:t>
      </w:r>
      <w:r w:rsidRPr="00CA7B9E">
        <w:t>.</w:t>
      </w:r>
      <w:r>
        <w:t xml:space="preserve"> </w:t>
      </w:r>
    </w:p>
    <w:sectPr w:rsidR="005069DE" w:rsidSect="00BE321B">
      <w:headerReference w:type="default" r:id="rId20"/>
      <w:pgSz w:w="11906" w:h="16838" w:code="9"/>
      <w:pgMar w:top="993" w:right="991" w:bottom="1276" w:left="993"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AAF28" w14:textId="77777777" w:rsidR="00B04F2E" w:rsidRDefault="00B04F2E" w:rsidP="00DA2E52">
      <w:pPr>
        <w:spacing w:after="0"/>
      </w:pPr>
      <w:r>
        <w:separator/>
      </w:r>
    </w:p>
  </w:endnote>
  <w:endnote w:type="continuationSeparator" w:id="0">
    <w:p w14:paraId="22B578F8" w14:textId="77777777" w:rsidR="00B04F2E" w:rsidRDefault="00B04F2E" w:rsidP="00DA2E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lkaios">
    <w:panose1 w:val="00000400000000000000"/>
    <w:charset w:val="00"/>
    <w:family w:val="auto"/>
    <w:pitch w:val="variable"/>
    <w:sig w:usb0="C00002EF" w:usb1="1807E0EA" w:usb2="00000010" w:usb3="00000000" w:csb0="0002009B" w:csb1="00000000"/>
  </w:font>
  <w:font w:name="Aptos">
    <w:charset w:val="00"/>
    <w:family w:val="swiss"/>
    <w:pitch w:val="variable"/>
    <w:sig w:usb0="20000287" w:usb1="00000003" w:usb2="00000000" w:usb3="00000000" w:csb0="0000019F" w:csb1="00000000"/>
  </w:font>
  <w:font w:name="DejaVu Sans">
    <w:panose1 w:val="020B0603030804020204"/>
    <w:charset w:val="00"/>
    <w:family w:val="swiss"/>
    <w:pitch w:val="variable"/>
    <w:sig w:usb0="E7002EFF" w:usb1="D200FDFF" w:usb2="0A24602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1624E" w14:textId="77777777" w:rsidR="00B04F2E" w:rsidRDefault="00B04F2E" w:rsidP="00DA2E52">
      <w:pPr>
        <w:spacing w:after="0"/>
      </w:pPr>
      <w:r>
        <w:separator/>
      </w:r>
    </w:p>
  </w:footnote>
  <w:footnote w:type="continuationSeparator" w:id="0">
    <w:p w14:paraId="4F9569F8" w14:textId="77777777" w:rsidR="00B04F2E" w:rsidRDefault="00B04F2E" w:rsidP="00DA2E52">
      <w:pPr>
        <w:spacing w:after="0"/>
      </w:pPr>
      <w:r>
        <w:continuationSeparator/>
      </w:r>
    </w:p>
  </w:footnote>
  <w:footnote w:id="1">
    <w:p w14:paraId="0315D985" w14:textId="77777777" w:rsidR="00DA2E52" w:rsidRPr="005F763C" w:rsidRDefault="00DA2E52" w:rsidP="00DA2E52">
      <w:pPr>
        <w:pStyle w:val="Funotentext"/>
        <w:rPr>
          <w:sz w:val="18"/>
          <w:szCs w:val="18"/>
        </w:rPr>
      </w:pPr>
      <w:r w:rsidRPr="005F763C">
        <w:rPr>
          <w:rStyle w:val="Funotenzeichen"/>
          <w:sz w:val="18"/>
          <w:szCs w:val="18"/>
        </w:rPr>
        <w:footnoteRef/>
      </w:r>
      <w:r w:rsidRPr="005F763C">
        <w:rPr>
          <w:sz w:val="18"/>
          <w:szCs w:val="18"/>
        </w:rPr>
        <w:t xml:space="preserve"> </w:t>
      </w:r>
      <w:r w:rsidRPr="005F763C">
        <w:rPr>
          <w:sz w:val="18"/>
          <w:szCs w:val="18"/>
          <w:lang w:val="el-GR"/>
        </w:rPr>
        <w:t>ξυν</w:t>
      </w:r>
      <w:r w:rsidRPr="005F763C">
        <w:rPr>
          <w:sz w:val="18"/>
          <w:szCs w:val="18"/>
        </w:rPr>
        <w:t xml:space="preserve">-: Nebenorm zu </w:t>
      </w:r>
      <w:r w:rsidRPr="005F763C">
        <w:rPr>
          <w:sz w:val="18"/>
          <w:szCs w:val="18"/>
          <w:lang w:val="el-GR"/>
        </w:rPr>
        <w:t>συν</w:t>
      </w:r>
      <w:r w:rsidRPr="005F763C">
        <w:rPr>
          <w:sz w:val="18"/>
          <w:szCs w:val="18"/>
        </w:rPr>
        <w:t xml:space="preserve">- </w:t>
      </w:r>
    </w:p>
  </w:footnote>
  <w:footnote w:id="2">
    <w:p w14:paraId="78467F42" w14:textId="77777777" w:rsidR="00DA2E52" w:rsidRPr="005F763C" w:rsidRDefault="00DA2E52" w:rsidP="00DA2E52">
      <w:pPr>
        <w:pStyle w:val="Funotentext"/>
        <w:rPr>
          <w:sz w:val="18"/>
          <w:szCs w:val="18"/>
        </w:rPr>
      </w:pPr>
      <w:r w:rsidRPr="005F763C">
        <w:rPr>
          <w:rStyle w:val="Funotenzeichen"/>
          <w:sz w:val="18"/>
          <w:szCs w:val="18"/>
        </w:rPr>
        <w:footnoteRef/>
      </w:r>
      <w:r w:rsidRPr="005F763C">
        <w:rPr>
          <w:sz w:val="18"/>
          <w:szCs w:val="18"/>
        </w:rPr>
        <w:t xml:space="preserve"> ὅσον ἀποζῆν: entspricht einer konsekutiven Bildung wie </w:t>
      </w:r>
      <w:r w:rsidRPr="005F763C">
        <w:rPr>
          <w:sz w:val="18"/>
          <w:szCs w:val="18"/>
          <w:lang w:val="el-GR"/>
        </w:rPr>
        <w:t>ὥστε</w:t>
      </w:r>
      <w:r w:rsidRPr="005F763C">
        <w:rPr>
          <w:sz w:val="18"/>
          <w:szCs w:val="18"/>
        </w:rPr>
        <w:t xml:space="preserve"> </w:t>
      </w:r>
      <w:r w:rsidRPr="005F763C">
        <w:rPr>
          <w:sz w:val="18"/>
          <w:szCs w:val="18"/>
          <w:lang w:val="el-GR"/>
        </w:rPr>
        <w:t>ζῆν</w:t>
      </w:r>
    </w:p>
  </w:footnote>
  <w:footnote w:id="3">
    <w:p w14:paraId="438CECCE" w14:textId="77777777" w:rsidR="00DA2E52" w:rsidRPr="005F763C" w:rsidRDefault="00DA2E52" w:rsidP="00DA2E52">
      <w:pPr>
        <w:pStyle w:val="Funotentext"/>
        <w:rPr>
          <w:sz w:val="18"/>
          <w:szCs w:val="18"/>
        </w:rPr>
      </w:pPr>
      <w:r w:rsidRPr="005F763C">
        <w:rPr>
          <w:rStyle w:val="Funotenzeichen"/>
          <w:sz w:val="18"/>
          <w:szCs w:val="18"/>
        </w:rPr>
        <w:footnoteRef/>
      </w:r>
      <w:r w:rsidRPr="005F763C">
        <w:rPr>
          <w:sz w:val="18"/>
          <w:szCs w:val="18"/>
        </w:rPr>
        <w:t xml:space="preserve"> ἄδηλον </w:t>
      </w:r>
      <w:r w:rsidRPr="005F763C">
        <w:rPr>
          <w:sz w:val="18"/>
          <w:szCs w:val="18"/>
          <w:lang w:val="el-GR"/>
        </w:rPr>
        <w:t>ὄ</w:t>
      </w:r>
      <w:r w:rsidRPr="005F763C">
        <w:rPr>
          <w:sz w:val="18"/>
          <w:szCs w:val="18"/>
        </w:rPr>
        <w:t>ν: adv. Akk. „da es unsicher war“</w:t>
      </w:r>
    </w:p>
  </w:footnote>
  <w:footnote w:id="4">
    <w:p w14:paraId="106585E9" w14:textId="77777777" w:rsidR="00DA2E52" w:rsidRPr="005F763C" w:rsidRDefault="00DA2E52" w:rsidP="00DA2E52">
      <w:pPr>
        <w:pStyle w:val="Funotentext"/>
        <w:rPr>
          <w:sz w:val="18"/>
          <w:szCs w:val="18"/>
        </w:rPr>
      </w:pPr>
      <w:r w:rsidRPr="005F763C">
        <w:rPr>
          <w:rStyle w:val="Funotenzeichen"/>
          <w:sz w:val="18"/>
          <w:szCs w:val="18"/>
        </w:rPr>
        <w:footnoteRef/>
      </w:r>
      <w:r w:rsidRPr="005F763C">
        <w:rPr>
          <w:sz w:val="18"/>
          <w:szCs w:val="18"/>
        </w:rPr>
        <w:t xml:space="preserve"> τῆς τε ἄλλης schließt an μάλιστα δὲ τῆς γῆς an.</w:t>
      </w:r>
    </w:p>
  </w:footnote>
  <w:footnote w:id="5">
    <w:p w14:paraId="21CF04C7" w14:textId="77777777" w:rsidR="00DA2E52" w:rsidRPr="005F763C" w:rsidRDefault="00DA2E52" w:rsidP="00DA2E52">
      <w:pPr>
        <w:pStyle w:val="Funotentext"/>
        <w:rPr>
          <w:sz w:val="18"/>
          <w:szCs w:val="18"/>
        </w:rPr>
      </w:pPr>
      <w:r w:rsidRPr="005F763C">
        <w:rPr>
          <w:rStyle w:val="Funotenzeichen"/>
          <w:sz w:val="18"/>
          <w:szCs w:val="18"/>
        </w:rPr>
        <w:footnoteRef/>
      </w:r>
      <w:r w:rsidRPr="005F763C">
        <w:rPr>
          <w:sz w:val="18"/>
          <w:szCs w:val="18"/>
        </w:rPr>
        <w:t xml:space="preserve"> ἐκ τοῦ ἐπὶ πλεῖστον „seit dem am weitesten = seit ältesten Zeiten“ </w:t>
      </w:r>
    </w:p>
  </w:footnote>
  <w:footnote w:id="6">
    <w:p w14:paraId="1DF70490" w14:textId="77777777" w:rsidR="00DA2E52" w:rsidRPr="00B87C2A" w:rsidRDefault="00DA2E52" w:rsidP="00DA2E52">
      <w:pPr>
        <w:pStyle w:val="Funotentext"/>
        <w:ind w:left="0" w:hanging="74"/>
        <w:rPr>
          <w:sz w:val="18"/>
          <w:szCs w:val="18"/>
        </w:rPr>
      </w:pPr>
      <w:r w:rsidRPr="00EB1506">
        <w:rPr>
          <w:rStyle w:val="Funotenzeichen"/>
          <w:sz w:val="18"/>
          <w:szCs w:val="18"/>
        </w:rPr>
        <w:footnoteRef/>
      </w:r>
      <w:r w:rsidRPr="00EB1506">
        <w:rPr>
          <w:sz w:val="18"/>
          <w:szCs w:val="18"/>
        </w:rPr>
        <w:t xml:space="preserve"> </w:t>
      </w:r>
      <w:r w:rsidRPr="00EB1506">
        <w:rPr>
          <w:sz w:val="18"/>
          <w:szCs w:val="18"/>
          <w:lang w:val="el-GR"/>
        </w:rPr>
        <w:t>ἐς</w:t>
      </w:r>
      <w:r>
        <w:rPr>
          <w:sz w:val="18"/>
          <w:szCs w:val="18"/>
        </w:rPr>
        <w:t>:</w:t>
      </w:r>
      <w:r w:rsidRPr="00EB1506">
        <w:rPr>
          <w:sz w:val="18"/>
          <w:szCs w:val="18"/>
        </w:rPr>
        <w:t xml:space="preserve"> Nebenform zu </w:t>
      </w:r>
      <w:r w:rsidRPr="00EB1506">
        <w:rPr>
          <w:sz w:val="18"/>
          <w:szCs w:val="18"/>
          <w:lang w:val="el-GR"/>
        </w:rPr>
        <w:t>εἰς</w:t>
      </w:r>
      <w:r w:rsidRPr="00EB1506">
        <w:rPr>
          <w:sz w:val="18"/>
          <w:szCs w:val="18"/>
        </w:rPr>
        <w:t xml:space="preserve"> </w:t>
      </w:r>
      <w:r w:rsidRPr="00EB1506">
        <w:rPr>
          <w:sz w:val="18"/>
          <w:szCs w:val="18"/>
        </w:rPr>
        <w:br/>
        <w:t xml:space="preserve"> ἐς τὰ ἄλλα: Attribut zu </w:t>
      </w:r>
      <w:r w:rsidRPr="00EB1506">
        <w:rPr>
          <w:sz w:val="18"/>
          <w:szCs w:val="18"/>
          <w:lang w:val="el-GR"/>
        </w:rPr>
        <w:t>τὰς</w:t>
      </w:r>
      <w:r w:rsidRPr="00EB1506">
        <w:rPr>
          <w:sz w:val="18"/>
          <w:szCs w:val="18"/>
        </w:rPr>
        <w:t xml:space="preserve"> </w:t>
      </w:r>
      <w:r w:rsidRPr="00EB1506">
        <w:rPr>
          <w:sz w:val="18"/>
          <w:szCs w:val="18"/>
          <w:lang w:val="el-GR"/>
        </w:rPr>
        <w:t>μετοικίας</w:t>
      </w:r>
      <w:r w:rsidRPr="00EB1506">
        <w:rPr>
          <w:sz w:val="18"/>
          <w:szCs w:val="18"/>
        </w:rPr>
        <w:t xml:space="preserve"> „das Umsiedeln“ (prädikative Stellung wohl, weil </w:t>
      </w:r>
      <w:r w:rsidRPr="00EB1506">
        <w:rPr>
          <w:sz w:val="18"/>
          <w:szCs w:val="18"/>
          <w:lang w:val="el-GR"/>
        </w:rPr>
        <w:t>μετοικία</w:t>
      </w:r>
      <w:r w:rsidRPr="00EB1506">
        <w:rPr>
          <w:sz w:val="18"/>
          <w:szCs w:val="18"/>
        </w:rPr>
        <w:t xml:space="preserve"> als sehr verbal empfunden wurde.</w:t>
      </w:r>
      <w:r>
        <w:rPr>
          <w:sz w:val="18"/>
          <w:szCs w:val="18"/>
        </w:rPr>
        <w:t>)</w:t>
      </w:r>
    </w:p>
  </w:footnote>
  <w:footnote w:id="7">
    <w:p w14:paraId="2876B99E" w14:textId="77777777" w:rsidR="00DA2E52" w:rsidRPr="0052354B" w:rsidRDefault="00DA2E52" w:rsidP="00DA2E52">
      <w:pPr>
        <w:pStyle w:val="Funotentext"/>
        <w:rPr>
          <w:sz w:val="18"/>
          <w:szCs w:val="18"/>
        </w:rPr>
      </w:pPr>
      <w:r w:rsidRPr="00EB1506">
        <w:rPr>
          <w:sz w:val="18"/>
          <w:szCs w:val="18"/>
          <w:vertAlign w:val="superscript"/>
        </w:rPr>
        <w:footnoteRef/>
      </w:r>
      <w:r w:rsidRPr="00EB1506">
        <w:rPr>
          <w:sz w:val="18"/>
          <w:szCs w:val="18"/>
        </w:rPr>
        <w:t xml:space="preserve"> αὐξηθῆναι ergänze </w:t>
      </w:r>
      <w:r>
        <w:rPr>
          <w:sz w:val="18"/>
          <w:szCs w:val="18"/>
          <w:lang w:val="el-GR"/>
        </w:rPr>
        <w:t>τὴν</w:t>
      </w:r>
      <w:r w:rsidRPr="00DA2E52">
        <w:rPr>
          <w:sz w:val="18"/>
          <w:szCs w:val="18"/>
        </w:rPr>
        <w:t xml:space="preserve"> </w:t>
      </w:r>
      <w:r>
        <w:rPr>
          <w:sz w:val="18"/>
          <w:szCs w:val="18"/>
          <w:lang w:val="el-GR"/>
        </w:rPr>
        <w:t>Ἀττικήν</w:t>
      </w:r>
    </w:p>
  </w:footnote>
  <w:footnote w:id="8">
    <w:p w14:paraId="6DBBA9CD" w14:textId="77777777" w:rsidR="00DA2E52" w:rsidRPr="006313A5" w:rsidRDefault="00DA2E52" w:rsidP="00DA2E52">
      <w:pPr>
        <w:pStyle w:val="Funotentext"/>
        <w:rPr>
          <w:sz w:val="18"/>
          <w:szCs w:val="18"/>
        </w:rPr>
      </w:pPr>
      <w:r w:rsidRPr="00EB1506">
        <w:rPr>
          <w:rStyle w:val="Funotenzeichen"/>
          <w:sz w:val="18"/>
          <w:szCs w:val="18"/>
        </w:rPr>
        <w:footnoteRef/>
      </w:r>
      <w:r w:rsidRPr="00EB1506">
        <w:rPr>
          <w:sz w:val="18"/>
          <w:szCs w:val="18"/>
        </w:rPr>
        <w:t xml:space="preserve"> </w:t>
      </w:r>
      <w:r w:rsidRPr="00EB1506">
        <w:rPr>
          <w:sz w:val="18"/>
          <w:szCs w:val="18"/>
          <w:lang w:val="el-GR"/>
        </w:rPr>
        <w:t>Τρωικῶν</w:t>
      </w:r>
      <w:r w:rsidRPr="006313A5">
        <w:rPr>
          <w:sz w:val="18"/>
          <w:szCs w:val="18"/>
        </w:rPr>
        <w:t xml:space="preserve"> </w:t>
      </w:r>
      <w:r w:rsidRPr="00EB1506">
        <w:rPr>
          <w:sz w:val="18"/>
          <w:szCs w:val="18"/>
        </w:rPr>
        <w:t xml:space="preserve">ergänze </w:t>
      </w:r>
      <w:r w:rsidRPr="00EB1506">
        <w:rPr>
          <w:sz w:val="18"/>
          <w:szCs w:val="18"/>
          <w:lang w:val="el-GR"/>
        </w:rPr>
        <w:t>πολέμων</w:t>
      </w:r>
    </w:p>
  </w:footnote>
  <w:footnote w:id="9">
    <w:p w14:paraId="536E21A5" w14:textId="77777777" w:rsidR="00DA2E52" w:rsidRPr="00EB1506" w:rsidRDefault="00DA2E52" w:rsidP="00DA2E52">
      <w:pPr>
        <w:pStyle w:val="Funotentext"/>
        <w:ind w:left="142" w:hanging="216"/>
      </w:pPr>
      <w:r w:rsidRPr="00EB1506">
        <w:rPr>
          <w:rStyle w:val="Funotenzeichen"/>
          <w:sz w:val="18"/>
          <w:szCs w:val="18"/>
        </w:rPr>
        <w:footnoteRef/>
      </w:r>
      <w:r w:rsidRPr="00EB1506">
        <w:rPr>
          <w:sz w:val="18"/>
          <w:szCs w:val="18"/>
        </w:rPr>
        <w:t xml:space="preserve"> </w:t>
      </w:r>
      <w:r w:rsidRPr="00EB1506">
        <w:rPr>
          <w:sz w:val="18"/>
          <w:szCs w:val="18"/>
          <w:lang w:val="el-GR"/>
        </w:rPr>
        <w:t>Ἕλληνος</w:t>
      </w:r>
      <w:r w:rsidRPr="00EB1506">
        <w:rPr>
          <w:sz w:val="18"/>
          <w:szCs w:val="18"/>
        </w:rPr>
        <w:t xml:space="preserve"> </w:t>
      </w:r>
      <w:r w:rsidRPr="00EB1506">
        <w:rPr>
          <w:sz w:val="18"/>
          <w:szCs w:val="18"/>
          <w:lang w:val="el-GR"/>
        </w:rPr>
        <w:t>τοῦ</w:t>
      </w:r>
      <w:r w:rsidRPr="00EB1506">
        <w:rPr>
          <w:sz w:val="18"/>
          <w:szCs w:val="18"/>
        </w:rPr>
        <w:t xml:space="preserve"> </w:t>
      </w:r>
      <w:r w:rsidRPr="00EB1506">
        <w:rPr>
          <w:sz w:val="18"/>
          <w:szCs w:val="18"/>
          <w:lang w:val="el-GR"/>
        </w:rPr>
        <w:t>Δευκαλίωνος</w:t>
      </w:r>
      <w:r w:rsidRPr="00EB1506">
        <w:rPr>
          <w:sz w:val="18"/>
          <w:szCs w:val="18"/>
        </w:rPr>
        <w:t xml:space="preserve">: Deukalion war mit seiner Frau Pyrrha auf dem Parnass der Sintflut entkommen und herrschte in Thesslien. Sein Sohn Hellen galt als Stammvater der Griechen. Dessen Söhne </w:t>
      </w:r>
      <w:r w:rsidRPr="00EB1506">
        <w:rPr>
          <w:sz w:val="18"/>
          <w:szCs w:val="18"/>
          <w:lang w:val="el-GR"/>
        </w:rPr>
        <w:t>Δῶρος</w:t>
      </w:r>
      <w:r w:rsidRPr="00EB1506">
        <w:rPr>
          <w:sz w:val="18"/>
          <w:szCs w:val="18"/>
        </w:rPr>
        <w:t xml:space="preserve"> (Dorer), </w:t>
      </w:r>
      <w:r w:rsidRPr="00EB1506">
        <w:rPr>
          <w:sz w:val="18"/>
          <w:szCs w:val="18"/>
          <w:lang w:val="el-GR"/>
        </w:rPr>
        <w:t>Ξοῦθος</w:t>
      </w:r>
      <w:r w:rsidRPr="00EB1506">
        <w:rPr>
          <w:sz w:val="18"/>
          <w:szCs w:val="18"/>
        </w:rPr>
        <w:t xml:space="preserve"> (Ionier, Achäer), </w:t>
      </w:r>
      <w:r w:rsidRPr="00EB1506">
        <w:rPr>
          <w:sz w:val="18"/>
          <w:szCs w:val="18"/>
          <w:lang w:val="el-GR"/>
        </w:rPr>
        <w:t>Αἴολος</w:t>
      </w:r>
      <w:r w:rsidRPr="00EB1506">
        <w:rPr>
          <w:sz w:val="18"/>
          <w:szCs w:val="18"/>
        </w:rPr>
        <w:t xml:space="preserve"> (Äoler) waren die Stammväter der griechischen Stämme.</w:t>
      </w:r>
    </w:p>
  </w:footnote>
  <w:footnote w:id="10">
    <w:p w14:paraId="430DA0AA" w14:textId="77777777" w:rsidR="00DA2E52" w:rsidRPr="00341012" w:rsidRDefault="00DA2E52" w:rsidP="00DA2E52">
      <w:pPr>
        <w:pStyle w:val="Funotentext"/>
        <w:rPr>
          <w:sz w:val="18"/>
          <w:szCs w:val="18"/>
        </w:rPr>
      </w:pPr>
      <w:r w:rsidRPr="00341012">
        <w:rPr>
          <w:rStyle w:val="Funotenzeichen"/>
          <w:sz w:val="18"/>
          <w:szCs w:val="18"/>
        </w:rPr>
        <w:footnoteRef/>
      </w:r>
      <w:r w:rsidRPr="00341012">
        <w:rPr>
          <w:sz w:val="18"/>
          <w:szCs w:val="18"/>
        </w:rPr>
        <w:t xml:space="preserve"> Πελασγικ</w:t>
      </w:r>
      <w:r w:rsidRPr="00341012">
        <w:rPr>
          <w:sz w:val="18"/>
          <w:szCs w:val="18"/>
          <w:lang w:val="el-GR"/>
        </w:rPr>
        <w:t>όν</w:t>
      </w:r>
      <w:r w:rsidRPr="00341012">
        <w:rPr>
          <w:sz w:val="18"/>
          <w:szCs w:val="18"/>
        </w:rPr>
        <w:t xml:space="preserve">: Adj. zu </w:t>
      </w:r>
      <w:r w:rsidRPr="00341012">
        <w:rPr>
          <w:sz w:val="18"/>
          <w:szCs w:val="18"/>
          <w:lang w:val="el-GR"/>
        </w:rPr>
        <w:t>Πελασγοί</w:t>
      </w:r>
      <w:r w:rsidRPr="00341012">
        <w:rPr>
          <w:sz w:val="18"/>
          <w:szCs w:val="18"/>
        </w:rPr>
        <w:t xml:space="preserve">, </w:t>
      </w:r>
      <w:r>
        <w:rPr>
          <w:sz w:val="18"/>
          <w:szCs w:val="18"/>
        </w:rPr>
        <w:t>Name der</w:t>
      </w:r>
      <w:r w:rsidRPr="00341012">
        <w:rPr>
          <w:sz w:val="18"/>
          <w:szCs w:val="18"/>
        </w:rPr>
        <w:t xml:space="preserve"> Ureinwohner Griechenlands</w:t>
      </w:r>
    </w:p>
  </w:footnote>
  <w:footnote w:id="11">
    <w:p w14:paraId="7CD97EE8" w14:textId="77777777" w:rsidR="00DA2E52" w:rsidRPr="00BC0803" w:rsidRDefault="00DA2E52" w:rsidP="00DA2E52">
      <w:pPr>
        <w:pStyle w:val="Funotentext"/>
      </w:pPr>
      <w:r>
        <w:rPr>
          <w:rStyle w:val="Funotenzeichen"/>
        </w:rPr>
        <w:footnoteRef/>
      </w:r>
      <w:r>
        <w:t xml:space="preserve"> </w:t>
      </w:r>
      <w:r w:rsidRPr="00CA7B9E">
        <w:t>ἐπαγομένων</w:t>
      </w:r>
      <w:r>
        <w:t xml:space="preserve"> „herbeigeführt, hergerufen“, ergänze als Subjektsgenitiv etwa </w:t>
      </w:r>
      <w:r>
        <w:rPr>
          <w:lang w:val="el-GR"/>
        </w:rPr>
        <w:t>τῶν</w:t>
      </w:r>
      <w:r w:rsidRPr="00BC0803">
        <w:t xml:space="preserve"> </w:t>
      </w:r>
      <w:r>
        <w:rPr>
          <w:lang w:val="el-GR"/>
        </w:rPr>
        <w:t>ἄλλων</w:t>
      </w:r>
      <w:r w:rsidRPr="00BC080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8931029"/>
      <w:docPartObj>
        <w:docPartGallery w:val="Page Numbers (Top of Page)"/>
        <w:docPartUnique/>
      </w:docPartObj>
    </w:sdtPr>
    <w:sdtContent>
      <w:p w14:paraId="0CA0D16D" w14:textId="20FD47E1" w:rsidR="00DA2E52" w:rsidRPr="00DA2E52" w:rsidRDefault="001B1D21" w:rsidP="001B1D21">
        <w:pPr>
          <w:pStyle w:val="Kopfzeile"/>
          <w:ind w:hanging="283"/>
          <w:jc w:val="right"/>
        </w:pPr>
        <w: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E5A"/>
    <w:rsid w:val="00024EAC"/>
    <w:rsid w:val="001B1D21"/>
    <w:rsid w:val="001C6B15"/>
    <w:rsid w:val="00243613"/>
    <w:rsid w:val="00263E7D"/>
    <w:rsid w:val="003A6B2B"/>
    <w:rsid w:val="004125C3"/>
    <w:rsid w:val="004B3EE9"/>
    <w:rsid w:val="005069DE"/>
    <w:rsid w:val="00551148"/>
    <w:rsid w:val="00595860"/>
    <w:rsid w:val="006070F3"/>
    <w:rsid w:val="00642140"/>
    <w:rsid w:val="00650709"/>
    <w:rsid w:val="00654A8F"/>
    <w:rsid w:val="00693A61"/>
    <w:rsid w:val="006C6FDF"/>
    <w:rsid w:val="00763112"/>
    <w:rsid w:val="007D1FD4"/>
    <w:rsid w:val="007D4B6E"/>
    <w:rsid w:val="00885E5A"/>
    <w:rsid w:val="008940DE"/>
    <w:rsid w:val="00897690"/>
    <w:rsid w:val="008D160E"/>
    <w:rsid w:val="009173B6"/>
    <w:rsid w:val="0097628B"/>
    <w:rsid w:val="00A44E1F"/>
    <w:rsid w:val="00B04F2E"/>
    <w:rsid w:val="00BE321B"/>
    <w:rsid w:val="00C117B6"/>
    <w:rsid w:val="00C121C8"/>
    <w:rsid w:val="00D161B8"/>
    <w:rsid w:val="00D16A6A"/>
    <w:rsid w:val="00D66E8E"/>
    <w:rsid w:val="00DA04FD"/>
    <w:rsid w:val="00DA2E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9E032"/>
  <w15:chartTrackingRefBased/>
  <w15:docId w15:val="{13FA0ABB-DD4F-4FC4-84B8-F9DB202EB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lkaios" w:eastAsiaTheme="minorHAnsi" w:hAnsi="Alkaios" w:cs="DejaVu Sans"/>
        <w:sz w:val="22"/>
        <w:szCs w:val="22"/>
        <w:lang w:val="de-DE" w:eastAsia="en-US" w:bidi="ar-SA"/>
      </w:rPr>
    </w:rPrDefault>
    <w:pPrDefault>
      <w:pPr>
        <w:spacing w:after="120"/>
        <w:ind w:left="283"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A2E52"/>
  </w:style>
  <w:style w:type="paragraph" w:styleId="berschrift1">
    <w:name w:val="heading 1"/>
    <w:basedOn w:val="Standard"/>
    <w:next w:val="Standard"/>
    <w:link w:val="berschrift1Zchn"/>
    <w:uiPriority w:val="9"/>
    <w:qFormat/>
    <w:rsid w:val="00885E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5E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5E5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5E5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5E5A"/>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5E5A"/>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5E5A"/>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885E5A"/>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5E5A"/>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5E5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5E5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5E5A"/>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5E5A"/>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5E5A"/>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885E5A"/>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5E5A"/>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885E5A"/>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5E5A"/>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885E5A"/>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5E5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5E5A"/>
    <w:pPr>
      <w:numPr>
        <w:ilvl w:val="1"/>
      </w:numPr>
      <w:spacing w:after="160"/>
      <w:ind w:left="283" w:hanging="357"/>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5E5A"/>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885E5A"/>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885E5A"/>
    <w:rPr>
      <w:i/>
      <w:iCs/>
      <w:color w:val="404040" w:themeColor="text1" w:themeTint="BF"/>
    </w:rPr>
  </w:style>
  <w:style w:type="paragraph" w:styleId="Listenabsatz">
    <w:name w:val="List Paragraph"/>
    <w:basedOn w:val="Standard"/>
    <w:uiPriority w:val="34"/>
    <w:qFormat/>
    <w:rsid w:val="00885E5A"/>
    <w:pPr>
      <w:ind w:left="720"/>
      <w:contextualSpacing/>
    </w:pPr>
  </w:style>
  <w:style w:type="character" w:styleId="IntensiveHervorhebung">
    <w:name w:val="Intense Emphasis"/>
    <w:basedOn w:val="Absatz-Standardschriftart"/>
    <w:uiPriority w:val="21"/>
    <w:qFormat/>
    <w:rsid w:val="00885E5A"/>
    <w:rPr>
      <w:i/>
      <w:iCs/>
      <w:color w:val="0F4761" w:themeColor="accent1" w:themeShade="BF"/>
    </w:rPr>
  </w:style>
  <w:style w:type="paragraph" w:styleId="IntensivesZitat">
    <w:name w:val="Intense Quote"/>
    <w:basedOn w:val="Standard"/>
    <w:next w:val="Standard"/>
    <w:link w:val="IntensivesZitatZchn"/>
    <w:uiPriority w:val="30"/>
    <w:qFormat/>
    <w:rsid w:val="00885E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5E5A"/>
    <w:rPr>
      <w:i/>
      <w:iCs/>
      <w:color w:val="0F4761" w:themeColor="accent1" w:themeShade="BF"/>
    </w:rPr>
  </w:style>
  <w:style w:type="character" w:styleId="IntensiverVerweis">
    <w:name w:val="Intense Reference"/>
    <w:basedOn w:val="Absatz-Standardschriftart"/>
    <w:uiPriority w:val="32"/>
    <w:qFormat/>
    <w:rsid w:val="00885E5A"/>
    <w:rPr>
      <w:b/>
      <w:bCs/>
      <w:smallCaps/>
      <w:color w:val="0F4761" w:themeColor="accent1" w:themeShade="BF"/>
      <w:spacing w:val="5"/>
    </w:rPr>
  </w:style>
  <w:style w:type="character" w:styleId="Hyperlink">
    <w:name w:val="Hyperlink"/>
    <w:basedOn w:val="Absatz-Standardschriftart"/>
    <w:uiPriority w:val="99"/>
    <w:unhideWhenUsed/>
    <w:rsid w:val="00DA2E52"/>
    <w:rPr>
      <w:color w:val="467886" w:themeColor="hyperlink"/>
      <w:u w:val="single"/>
    </w:rPr>
  </w:style>
  <w:style w:type="paragraph" w:styleId="Funotentext">
    <w:name w:val="footnote text"/>
    <w:basedOn w:val="Standard"/>
    <w:link w:val="FunotentextZchn"/>
    <w:uiPriority w:val="99"/>
    <w:semiHidden/>
    <w:unhideWhenUsed/>
    <w:rsid w:val="00DA2E52"/>
    <w:pPr>
      <w:spacing w:after="0"/>
    </w:pPr>
    <w:rPr>
      <w:sz w:val="20"/>
      <w:szCs w:val="20"/>
    </w:rPr>
  </w:style>
  <w:style w:type="character" w:customStyle="1" w:styleId="FunotentextZchn">
    <w:name w:val="Fußnotentext Zchn"/>
    <w:basedOn w:val="Absatz-Standardschriftart"/>
    <w:link w:val="Funotentext"/>
    <w:uiPriority w:val="99"/>
    <w:semiHidden/>
    <w:rsid w:val="00DA2E52"/>
    <w:rPr>
      <w:sz w:val="20"/>
      <w:szCs w:val="20"/>
    </w:rPr>
  </w:style>
  <w:style w:type="character" w:styleId="Funotenzeichen">
    <w:name w:val="footnote reference"/>
    <w:basedOn w:val="Absatz-Standardschriftart"/>
    <w:uiPriority w:val="99"/>
    <w:semiHidden/>
    <w:unhideWhenUsed/>
    <w:rsid w:val="00DA2E52"/>
    <w:rPr>
      <w:vertAlign w:val="superscript"/>
    </w:rPr>
  </w:style>
  <w:style w:type="paragraph" w:styleId="Kopfzeile">
    <w:name w:val="header"/>
    <w:basedOn w:val="Standard"/>
    <w:link w:val="KopfzeileZchn"/>
    <w:uiPriority w:val="99"/>
    <w:unhideWhenUsed/>
    <w:rsid w:val="00DA2E52"/>
    <w:pPr>
      <w:tabs>
        <w:tab w:val="center" w:pos="4536"/>
        <w:tab w:val="right" w:pos="9072"/>
      </w:tabs>
      <w:spacing w:after="0"/>
    </w:pPr>
  </w:style>
  <w:style w:type="character" w:customStyle="1" w:styleId="KopfzeileZchn">
    <w:name w:val="Kopfzeile Zchn"/>
    <w:basedOn w:val="Absatz-Standardschriftart"/>
    <w:link w:val="Kopfzeile"/>
    <w:uiPriority w:val="99"/>
    <w:rsid w:val="00DA2E52"/>
  </w:style>
  <w:style w:type="paragraph" w:styleId="Fuzeile">
    <w:name w:val="footer"/>
    <w:basedOn w:val="Standard"/>
    <w:link w:val="FuzeileZchn"/>
    <w:uiPriority w:val="99"/>
    <w:unhideWhenUsed/>
    <w:rsid w:val="00DA2E52"/>
    <w:pPr>
      <w:tabs>
        <w:tab w:val="center" w:pos="4536"/>
        <w:tab w:val="right" w:pos="9072"/>
      </w:tabs>
      <w:spacing w:after="0"/>
    </w:pPr>
  </w:style>
  <w:style w:type="character" w:customStyle="1" w:styleId="FuzeileZchn">
    <w:name w:val="Fußzeile Zchn"/>
    <w:basedOn w:val="Absatz-Standardschriftart"/>
    <w:link w:val="Fuzeile"/>
    <w:uiPriority w:val="99"/>
    <w:rsid w:val="00DA2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wikisource.org/wiki/%CE%99%CF%83%CF%84%CE%BF%CF%81%CE%AF%CE%B1_%CF%84%CE%BF%CF%85_%CE%A0%CE%B5%CE%BB%CE%BF%CF%80%CE%BF%CE%BD%CE%BD%CE%B7%CF%83%CE%B9%CE%B1%CE%BA%CE%BF%CF%8D_%CE%A0%CE%BF%CE%BB%CE%AD%CE%BC%CE%BF%CF%85/%CE%91" TargetMode="External"/><Relationship Id="rId13" Type="http://schemas.openxmlformats.org/officeDocument/2006/relationships/hyperlink" Target="https://el.wikisource.org/wiki/%CE%99%CF%83%CF%84%CE%BF%CF%81%CE%AF%CE%B1_%CF%84%CE%BF%CF%85_%CE%A0%CE%B5%CE%BB%CE%BF%CF%80%CE%BF%CE%BD%CE%BD%CE%B7%CF%83%CE%B9%CE%B1%CE%BA%CE%BF%CF%8D_%CE%A0%CE%BF%CE%BB%CE%AD%CE%BC%CE%BF%CF%85/%CE%91" TargetMode="External"/><Relationship Id="rId18" Type="http://schemas.openxmlformats.org/officeDocument/2006/relationships/hyperlink" Target="https://el.wikisource.org/wiki/%CE%99%CF%83%CF%84%CE%BF%CF%81%CE%AF%CE%B1_%CF%84%CE%BF%CF%85_%CE%A0%CE%B5%CE%BB%CE%BF%CF%80%CE%BF%CE%BD%CE%BD%CE%B7%CF%83%CE%B9%CE%B1%CE%BA%CE%BF%CF%8D_%CE%A0%CE%BF%CE%BB%CE%AD%CE%BC%CE%BF%CF%85/%CE%91"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el.wikisource.org/wiki/%CE%99%CF%83%CF%84%CE%BF%CF%81%CE%AF%CE%B1_%CF%84%CE%BF%CF%85_%CE%A0%CE%B5%CE%BB%CE%BF%CF%80%CE%BF%CE%BD%CE%BD%CE%B7%CF%83%CE%B9%CE%B1%CE%BA%CE%BF%CF%8D_%CE%A0%CE%BF%CE%BB%CE%AD%CE%BC%CE%BF%CF%85/%CE%91" TargetMode="External"/><Relationship Id="rId12" Type="http://schemas.openxmlformats.org/officeDocument/2006/relationships/hyperlink" Target="https://el.wikisource.org/wiki/%CE%99%CF%83%CF%84%CE%BF%CF%81%CE%AF%CE%B1_%CF%84%CE%BF%CF%85_%CE%A0%CE%B5%CE%BB%CE%BF%CF%80%CE%BF%CE%BD%CE%BD%CE%B7%CF%83%CE%B9%CE%B1%CE%BA%CE%BF%CF%8D_%CE%A0%CE%BF%CE%BB%CE%AD%CE%BC%CE%BF%CF%85/%CE%91" TargetMode="External"/><Relationship Id="rId17" Type="http://schemas.openxmlformats.org/officeDocument/2006/relationships/hyperlink" Target="https://el.wikisource.org/wiki/%CE%99%CF%83%CF%84%CE%BF%CF%81%CE%AF%CE%B1_%CF%84%CE%BF%CF%85_%CE%A0%CE%B5%CE%BB%CE%BF%CF%80%CE%BF%CE%BD%CE%BD%CE%B7%CF%83%CE%B9%CE%B1%CE%BA%CE%BF%CF%8D_%CE%A0%CE%BF%CE%BB%CE%AD%CE%BC%CE%BF%CF%85/%CE%91" TargetMode="External"/><Relationship Id="rId2" Type="http://schemas.openxmlformats.org/officeDocument/2006/relationships/settings" Target="settings.xml"/><Relationship Id="rId16" Type="http://schemas.openxmlformats.org/officeDocument/2006/relationships/hyperlink" Target="https://el.wikisource.org/wiki/%CE%99%CF%83%CF%84%CE%BF%CF%81%CE%AF%CE%B1_%CF%84%CE%BF%CF%85_%CE%A0%CE%B5%CE%BB%CE%BF%CF%80%CE%BF%CE%BD%CE%BD%CE%B7%CF%83%CE%B9%CE%B1%CE%BA%CE%BF%CF%8D_%CE%A0%CE%BF%CE%BB%CE%AD%CE%BC%CE%BF%CF%85/%CE%91"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el.wikisource.org/wiki/%CE%99%CF%83%CF%84%CE%BF%CF%81%CE%AF%CE%B1_%CF%84%CE%BF%CF%85_%CE%A0%CE%B5%CE%BB%CE%BF%CF%80%CE%BF%CE%BD%CE%BD%CE%B7%CF%83%CE%B9%CE%B1%CE%BA%CE%BF%CF%8D_%CE%A0%CE%BF%CE%BB%CE%AD%CE%BC%CE%BF%CF%85/%CE%91" TargetMode="External"/><Relationship Id="rId11" Type="http://schemas.openxmlformats.org/officeDocument/2006/relationships/hyperlink" Target="https://el.wikisource.org/wiki/%CE%99%CF%83%CF%84%CE%BF%CF%81%CE%AF%CE%B1_%CF%84%CE%BF%CF%85_%CE%A0%CE%B5%CE%BB%CE%BF%CF%80%CE%BF%CE%BD%CE%BD%CE%B7%CF%83%CE%B9%CE%B1%CE%BA%CE%BF%CF%8D_%CE%A0%CE%BF%CE%BB%CE%AD%CE%BC%CE%BF%CF%85/%CE%91" TargetMode="External"/><Relationship Id="rId5" Type="http://schemas.openxmlformats.org/officeDocument/2006/relationships/endnotes" Target="endnotes.xml"/><Relationship Id="rId15" Type="http://schemas.openxmlformats.org/officeDocument/2006/relationships/hyperlink" Target="https://el.wikisource.org/wiki/%CE%99%CF%83%CF%84%CE%BF%CF%81%CE%AF%CE%B1_%CF%84%CE%BF%CF%85_%CE%A0%CE%B5%CE%BB%CE%BF%CF%80%CE%BF%CE%BD%CE%BD%CE%B7%CF%83%CE%B9%CE%B1%CE%BA%CE%BF%CF%8D_%CE%A0%CE%BF%CE%BB%CE%AD%CE%BC%CE%BF%CF%85/%CE%91" TargetMode="External"/><Relationship Id="rId10" Type="http://schemas.openxmlformats.org/officeDocument/2006/relationships/hyperlink" Target="https://el.wikisource.org/wiki/%CE%99%CF%83%CF%84%CE%BF%CF%81%CE%AF%CE%B1_%CF%84%CE%BF%CF%85_%CE%A0%CE%B5%CE%BB%CE%BF%CF%80%CE%BF%CE%BD%CE%BD%CE%B7%CF%83%CE%B9%CE%B1%CE%BA%CE%BF%CF%8D_%CE%A0%CE%BF%CE%BB%CE%AD%CE%BC%CE%BF%CF%85/%CE%91" TargetMode="External"/><Relationship Id="rId19" Type="http://schemas.openxmlformats.org/officeDocument/2006/relationships/hyperlink" Target="https://el.wikisource.org/wiki/%CE%99%CF%83%CF%84%CE%BF%CF%81%CE%AF%CE%B1_%CF%84%CE%BF%CF%85_%CE%A0%CE%B5%CE%BB%CE%BF%CF%80%CE%BF%CE%BD%CE%BD%CE%B7%CF%83%CE%B9%CE%B1%CE%BA%CE%BF%CF%8D_%CE%A0%CE%BF%CE%BB%CE%AD%CE%BC%CE%BF%CF%85/%CE%91" TargetMode="External"/><Relationship Id="rId4" Type="http://schemas.openxmlformats.org/officeDocument/2006/relationships/footnotes" Target="footnotes.xml"/><Relationship Id="rId9" Type="http://schemas.openxmlformats.org/officeDocument/2006/relationships/hyperlink" Target="https://el.wikisource.org/wiki/%CE%99%CF%83%CF%84%CE%BF%CF%81%CE%AF%CE%B1_%CF%84%CE%BF%CF%85_%CE%A0%CE%B5%CE%BB%CE%BF%CF%80%CE%BF%CE%BD%CE%BD%CE%B7%CF%83%CE%B9%CE%B1%CE%BA%CE%BF%CF%8D_%CE%A0%CE%BF%CE%BB%CE%AD%CE%BC%CE%BF%CF%85/%CE%91" TargetMode="External"/><Relationship Id="rId14" Type="http://schemas.openxmlformats.org/officeDocument/2006/relationships/hyperlink" Target="https://el.wikisource.org/wiki/%CE%99%CF%83%CF%84%CE%BF%CF%81%CE%AF%CE%B1_%CF%84%CE%BF%CF%85_%CE%A0%CE%B5%CE%BB%CE%BF%CF%80%CE%BF%CE%BD%CE%BD%CE%B7%CF%83%CE%B9%CE%B1%CE%BA%CE%BF%CF%8D_%CE%A0%CE%BF%CE%BB%CE%AD%CE%BC%CE%BF%CF%85/%CE%91"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887</Words>
  <Characters>5590</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Friedrich</dc:creator>
  <cp:keywords/>
  <dc:description/>
  <cp:lastModifiedBy>Friedrich Holtiegel</cp:lastModifiedBy>
  <cp:revision>10</cp:revision>
  <dcterms:created xsi:type="dcterms:W3CDTF">2025-08-22T14:37:00Z</dcterms:created>
  <dcterms:modified xsi:type="dcterms:W3CDTF">2026-10-15T13:23:00Z</dcterms:modified>
</cp:coreProperties>
</file>